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textAlignment w:val="auto"/>
        <w:rPr>
          <w:rFonts w:hint="eastAsia"/>
          <w:lang w:val="en-US" w:eastAsia="zh-CN"/>
        </w:rPr>
      </w:pPr>
    </w:p>
    <w:p>
      <w:pPr>
        <w:spacing w:line="6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2023年度山东省建筑业新技术应用创新竞赛</w:t>
      </w:r>
    </w:p>
    <w:p>
      <w:pPr>
        <w:spacing w:line="6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项目</w:t>
      </w:r>
      <w:r>
        <w:rPr>
          <w:rFonts w:hint="eastAsia" w:ascii="宋体" w:hAnsi="宋体" w:cs="宋体"/>
          <w:b/>
          <w:bCs/>
          <w:sz w:val="44"/>
          <w:szCs w:val="44"/>
        </w:rPr>
        <w:t>参评规模</w:t>
      </w:r>
    </w:p>
    <w:p>
      <w:pPr>
        <w:pStyle w:val="6"/>
      </w:pPr>
    </w:p>
    <w:p>
      <w:pPr>
        <w:spacing w:line="578" w:lineRule="exact"/>
        <w:ind w:firstLine="66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一、房屋建筑工程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1.建筑面积在10000平方米（含）以上的公共建筑；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2.建筑面积在10000 平方米（含）以上的工业建筑；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3.建筑面积在10000平方米（含）以上的住宅工程；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4.建筑面积在20万平方米（含）以上住宅小区；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5.具备新型结构体系、质量突出、新技术应用具有推广价值的工程。</w:t>
      </w:r>
    </w:p>
    <w:p>
      <w:pPr>
        <w:spacing w:line="578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二、市政基础设施工程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1.造价1亿元以上的城市互通立交桥、高架桥，项目不同标段应作为一个整体申报；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2.造价8000万元以上，长度500米以上的城市隧道工程；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3.造价1亿元以上，包含综合管廊（1公里以上）或桥梁工程（单跨20米以上）的城市道路；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4.造价8000万元以上，包含建筑物或构筑物的供水厂、污水处理厂、垃圾处理厂（场）工程；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5.投资超过6000万元的园林项目。</w:t>
      </w:r>
      <w:bookmarkStart w:id="0" w:name="_GoBack"/>
      <w:bookmarkEnd w:id="0"/>
    </w:p>
    <w:sectPr>
      <w:footerReference r:id="rId3" w:type="default"/>
      <w:pgSz w:w="11906" w:h="16838"/>
      <w:pgMar w:top="1542" w:right="1440" w:bottom="154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6FEA1FE4"/>
    <w:rsid w:val="5FEE0E7E"/>
    <w:rsid w:val="6FEA1FE4"/>
    <w:rsid w:val="715C2F2A"/>
    <w:rsid w:val="7B8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  <w:style w:type="paragraph" w:styleId="4">
    <w:name w:val="Body Text"/>
    <w:basedOn w:val="1"/>
    <w:next w:val="5"/>
    <w:qFormat/>
    <w:uiPriority w:val="0"/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99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2956</Words>
  <Characters>3171</Characters>
  <Lines>0</Lines>
  <Paragraphs>0</Paragraphs>
  <TotalTime>0</TotalTime>
  <ScaleCrop>false</ScaleCrop>
  <LinksUpToDate>false</LinksUpToDate>
  <CharactersWithSpaces>3666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2023-05-18T03:11:00Z</dcterms:created>
  <dc:creator>侯仰志</dc:creator>
  <cp:lastModifiedBy>maggy酱</cp:lastModifiedBy>
  <dcterms:modified xsi:type="dcterms:W3CDTF">2023-05-18T03:15:02Z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665A952C0F2A4AEE9AA62AF4948AB76A_13</vt:lpwstr>
  </property>
</Properties>
</file>